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Classification of living things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Micro-organisms, plants, animals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Reasons for classifying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Evolution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Fossils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Offspring and inheritance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nu4r9dbq9n62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Adaptations of living things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Dynamics, pitch and texture (Fingal’s Cave)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 the sounds of an orchestral piece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varied vocabulary in response to what they hear.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Change dynamics and pitch, differentiating between the two.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the role of a conductor.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Change the texture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 the conductor to show change in pitch, dynamics and texture.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Songs of World War 2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Use musical and comparative language in discussion.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Follow the melody line.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Follow the scores with a good sense of timing, showing that they understand which section of pitch they are singing.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Sing the correct words at the correct time.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Recall the counter-melody line.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Clothes in Spanish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identify the meaning of new words.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clothes.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build sentences giving reasons for clothes choices.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compose a detailed outfit description for a design brief.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extract and apply key information from a design brief to create an outfit.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present information orally.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School Life in Spanish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express likes and dislikes in a conversation.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give opinions in a conversation.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make comparisons.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seek and give information in a conversation.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engage in conversations expressing preferences.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use familiar phrases and vocabulary in writing.</w:t>
            </w:r>
          </w:p>
          <w:p w:rsidR="00000000" w:rsidDel="00000000" w:rsidP="00000000" w:rsidRDefault="00000000" w:rsidRPr="00000000" w14:paraId="0000002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C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Victorians</w:t>
            </w:r>
          </w:p>
          <w:p w:rsidR="00000000" w:rsidDel="00000000" w:rsidP="00000000" w:rsidRDefault="00000000" w:rsidRPr="00000000" w14:paraId="0000002D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-Compare life before/after the Industrial Revolution and learn the significance of the changes at this time</w:t>
            </w:r>
          </w:p>
          <w:p w:rsidR="00000000" w:rsidDel="00000000" w:rsidP="00000000" w:rsidRDefault="00000000" w:rsidRPr="00000000" w14:paraId="0000002E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-learn about how factories and machinery impacted the lives of the people</w:t>
            </w:r>
          </w:p>
          <w:p w:rsidR="00000000" w:rsidDel="00000000" w:rsidP="00000000" w:rsidRDefault="00000000" w:rsidRPr="00000000" w14:paraId="0000002F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-learn about the significance of Queen Victoria and her reign</w:t>
            </w:r>
          </w:p>
          <w:p w:rsidR="00000000" w:rsidDel="00000000" w:rsidP="00000000" w:rsidRDefault="00000000" w:rsidRPr="00000000" w14:paraId="00000030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-Look at industrial cities - imports and exports, especially the impact locally in Liverpool and Wirral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-explore the reason why education became compulsory and the impact this had on the population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2">
            <w:pPr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Y6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Autumn Overview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Related Fitness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Why flexibility is important?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Why stamina is very important in some sports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swim a range of strokes over 25m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a self- rescue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– Counter balance and conter tension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 sequence of moves in unison with a partner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Hold a range of symmetrical and asymmetrical counter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7xf9mlhze73j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Send and receive a ball on the run when under pressure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3uoxitx4fah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To close the space when defending and be wary of the dummy pass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sz w:val="20"/>
                <w:szCs w:val="20"/>
              </w:rPr>
            </w:pPr>
            <w:bookmarkStart w:colFirst="0" w:colLast="0" w:name="_heading=h.3uoxitx4fahb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the physical features of certain cities and understand the reason they have developed there and changed over time.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what trade is and discover the trade links around the world.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explore the products the UK exports and the countries we class as ‘top trading partners’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Structures - Playgrounds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design a playground with a variety of structures.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build a range of structures.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improve and add detail to structures.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Digital World – Navigating the World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write a design brief and criteria based on a client request.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write a program to include multiple functions as part of a navigation device.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develop a sustainable product concept.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en90nwi40yk7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develop 3D CAD skills to produce a virtual model.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present a pitch to ‘sell’ the product to a specified client.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5B">
            <w:pPr>
              <w:spacing w:after="240" w:before="24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that Islam means ‘Submission (to the will of Allah)’ and the word Muslims means someone who has willingly submitted themselves to Allah.</w:t>
            </w:r>
          </w:p>
          <w:p w:rsidR="00000000" w:rsidDel="00000000" w:rsidP="00000000" w:rsidRDefault="00000000" w:rsidRPr="00000000" w14:paraId="0000005C">
            <w:pPr>
              <w:spacing w:after="240" w:before="24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-Understand that praying 5 times a day is one-way Muslims submit to the will of Allah.</w:t>
            </w:r>
          </w:p>
          <w:p w:rsidR="00000000" w:rsidDel="00000000" w:rsidP="00000000" w:rsidRDefault="00000000" w:rsidRPr="00000000" w14:paraId="0000005D">
            <w:pPr>
              <w:spacing w:after="240" w:before="24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that Muslims believe that the Angel Jibreel was ‘sent down’ with God’s holy book – the Mother of the Book. This was the book that was shown to Muhammad.</w:t>
            </w:r>
          </w:p>
          <w:p w:rsidR="00000000" w:rsidDel="00000000" w:rsidP="00000000" w:rsidRDefault="00000000" w:rsidRPr="00000000" w14:paraId="0000005E">
            <w:pPr>
              <w:spacing w:after="240" w:before="24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-Understand how and why the Qur’an is treated with great respect by Muslims.</w:t>
            </w:r>
          </w:p>
          <w:p w:rsidR="00000000" w:rsidDel="00000000" w:rsidP="00000000" w:rsidRDefault="00000000" w:rsidRPr="00000000" w14:paraId="0000005F">
            <w:pPr>
              <w:spacing w:after="16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that God’s message is known as the ‘Straight Path’ or the Shariah.</w:t>
            </w:r>
          </w:p>
          <w:p w:rsidR="00000000" w:rsidDel="00000000" w:rsidP="00000000" w:rsidRDefault="00000000" w:rsidRPr="00000000" w14:paraId="00000060">
            <w:pP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Christmas around the world</w:t>
            </w:r>
          </w:p>
          <w:p w:rsidR="00000000" w:rsidDel="00000000" w:rsidP="00000000" w:rsidRDefault="00000000" w:rsidRPr="00000000" w14:paraId="0000006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Christmas is celebrated in different countries around the world.</w:t>
            </w:r>
          </w:p>
          <w:p w:rsidR="00000000" w:rsidDel="00000000" w:rsidP="00000000" w:rsidRDefault="00000000" w:rsidRPr="00000000" w14:paraId="00000062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-Retell elements of the story of the visit of the wise men to Jesus.</w:t>
            </w:r>
          </w:p>
          <w:p w:rsidR="00000000" w:rsidDel="00000000" w:rsidP="00000000" w:rsidRDefault="00000000" w:rsidRPr="00000000" w14:paraId="0000006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similarities and differences between Christmas in the UK and Christmas in other countries around the world.</w:t>
            </w:r>
          </w:p>
          <w:p w:rsidR="00000000" w:rsidDel="00000000" w:rsidP="00000000" w:rsidRDefault="00000000" w:rsidRPr="00000000" w14:paraId="0000006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and understand the history of Christmas and the various traditions which inspired Christmas. 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3"/>
              </w:numPr>
              <w:spacing w:after="240" w:before="24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To explain the importance of internet addresses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3"/>
              </w:numPr>
              <w:spacing w:after="240" w:before="24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To explain how sharing information online can help people to work together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3"/>
              </w:numPr>
              <w:spacing w:after="240" w:before="24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how we communicate using technology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sz w:val="20"/>
                <w:szCs w:val="20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ijd1sdpzmkr8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To plan the features of a web page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yrat0aa1enwl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To review an existing website and consider its structure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ylb51qdrgxi4" w:id="8"/>
            <w:bookmarkEnd w:id="8"/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 can discuss the different types of media used on websites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b w:val="1"/>
                <w:color w:val="ff0000"/>
                <w:sz w:val="20"/>
                <w:szCs w:val="20"/>
                <w:u w:val="single"/>
              </w:rPr>
            </w:pPr>
            <w:bookmarkStart w:colFirst="0" w:colLast="0" w:name="_heading=h.yrat0aa1enwl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b w:val="1"/>
                <w:color w:val="ff0000"/>
                <w:sz w:val="20"/>
                <w:szCs w:val="20"/>
                <w:u w:val="single"/>
              </w:rPr>
            </w:pPr>
            <w:bookmarkStart w:colFirst="0" w:colLast="0" w:name="_heading=h.s1sl68c8pqt3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Artist: Mike Barret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Drawing: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Develop ideas using different mixed media, using a sketchbook.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Manipulate and experiment with the elements of art: line, tone, pattern, textures, form, space, colour and shape.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Painting: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Create shades and tints using black and white.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Choose appropriate paint, paper and implements to adapt and extend their work.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Carry out preliminary studies, test media and materials and mix appropriate colours.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Collage: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Join materials in different ways.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Use different techniques, colours and textures when designing and making pieces of work.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bookmarkStart w:colFirst="0" w:colLast="0" w:name="_heading=h.nf9nngt9wgar" w:id="10"/>
            <w:bookmarkEnd w:id="1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be expressive and analytical to adapt, extend and justify their work.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Learning: to resolve conflict, through negotiation and compromise; about respect, understanding that everyone deserves to be respected and about grief.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qualities or values they want to develop and create achievable goals.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importance of relaxation and suggest different strategies.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how they take care of their physical wellbeing.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that technology can have an impact on physical and mental health and know some strategies they can use to overcome this.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what resilience is, why it is important and some useful resilience strategies.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how vaccination works and why it is important to individuals.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that habits can be good or bad for health.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that changes in their body could indicate illness and know what to do if they notice them.</w:t>
            </w:r>
          </w:p>
          <w:p w:rsidR="00000000" w:rsidDel="00000000" w:rsidP="00000000" w:rsidRDefault="00000000" w:rsidRPr="00000000" w14:paraId="0000008C">
            <w:pPr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9267BE"/>
    <w:pPr>
      <w:ind w:left="720"/>
      <w:contextualSpacing w:val="1"/>
    </w:p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eading2Char" w:customStyle="1">
    <w:name w:val="Heading 2 Char"/>
    <w:basedOn w:val="DefaultParagraphFont"/>
    <w:link w:val="Heading2"/>
    <w:rsid w:val="00F9254B"/>
    <w:rPr>
      <w:b w:val="1"/>
      <w:sz w:val="36"/>
      <w:szCs w:val="36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jpcf3tqIeQhEEHy1aqcZ86P6A==">CgMxLjAyDmgubnU0cjlkYnE5bjYyMgloLjMwajB6bGwyDmguN3hmOW1saHplNzNqMg5oLjN1b3hpdHg0ZmFoYjIOaC4zdW94aXR4NGZhaGIyDmguZW45MG53aTQweWs3MghoLmdqZGd4czIIaC5namRneHMyCGguZ2pkZ3hzMghoLmdqZGd4czIOaC5pamQxc2Rwem1rcjgyDmgueXJhdDBhYTFlbndsMg5oLnlsYjUxcWRyZ3hpNDIOaC55cmF0MGFhMWVud2wyDmguczFzbDY4YzhwcXQzMg5oLm5mOW5uZ3Q5d2dhcjgAciExbFVqZWx5RlZCUWxlemVtWmlucXNvRlhWREc3eWpsb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2022-08-30T07:25:00Z</dcterms:created>
  <dc:creator>amilne</dc:creator>
</cp:coreProperties>
</file>